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0AF1" w14:textId="77777777" w:rsidR="009C2F9D" w:rsidRDefault="009C2F9D" w:rsidP="009C2F9D">
      <w:pPr>
        <w:pStyle w:val="xmsonormal"/>
        <w:shd w:val="clear" w:color="auto" w:fill="FFFFFF"/>
        <w:spacing w:before="0" w:beforeAutospacing="0" w:after="0" w:afterAutospacing="0" w:line="233" w:lineRule="atLeast"/>
        <w:textAlignment w:val="baseline"/>
        <w:rPr>
          <w:rFonts w:ascii="Calibri" w:hAnsi="Calibri" w:cs="Calibri"/>
          <w:color w:val="201F1E"/>
          <w:sz w:val="22"/>
          <w:szCs w:val="22"/>
        </w:rPr>
      </w:pPr>
      <w:r>
        <w:rPr>
          <w:rFonts w:ascii="Open Sans" w:hAnsi="Open Sans" w:cs="Open Sans"/>
          <w:color w:val="333333"/>
          <w:spacing w:val="45"/>
          <w:sz w:val="32"/>
          <w:szCs w:val="32"/>
          <w:bdr w:val="none" w:sz="0" w:space="0" w:color="auto" w:frame="1"/>
        </w:rPr>
        <w:t>ACCOUNTING SERVICES</w:t>
      </w:r>
    </w:p>
    <w:p w14:paraId="01F6AE86" w14:textId="77777777" w:rsidR="009C2F9D" w:rsidRDefault="009C2F9D" w:rsidP="009C2F9D">
      <w:pPr>
        <w:pStyle w:val="xmsolistparagraph"/>
        <w:numPr>
          <w:ilvl w:val="0"/>
          <w:numId w:val="1"/>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FINANCIAL STATEMENTS WITH ANALYSIS</w:t>
      </w:r>
    </w:p>
    <w:p w14:paraId="6F91FE87" w14:textId="77777777" w:rsidR="009C2F9D" w:rsidRDefault="009C2F9D" w:rsidP="009C2F9D">
      <w:pPr>
        <w:pStyle w:val="xmsolistparagraph"/>
        <w:numPr>
          <w:ilvl w:val="0"/>
          <w:numId w:val="1"/>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ELIMINATION OF UNWARRANTED PENALTIES</w:t>
      </w:r>
    </w:p>
    <w:p w14:paraId="4EDE758F" w14:textId="77777777" w:rsidR="009C2F9D" w:rsidRDefault="009C2F9D" w:rsidP="009C2F9D">
      <w:pPr>
        <w:pStyle w:val="xmsolistparagraph"/>
        <w:numPr>
          <w:ilvl w:val="0"/>
          <w:numId w:val="1"/>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OFFICE SYSTEM &amp; REPORTING CONTROLS</w:t>
      </w:r>
    </w:p>
    <w:p w14:paraId="4750CABC" w14:textId="77777777" w:rsidR="009C2F9D" w:rsidRDefault="009C2F9D" w:rsidP="009C2F9D">
      <w:pPr>
        <w:pStyle w:val="xmsolistparagraph"/>
        <w:numPr>
          <w:ilvl w:val="0"/>
          <w:numId w:val="1"/>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BUSINESS BUY/SELL ANALYSIS</w:t>
      </w:r>
    </w:p>
    <w:p w14:paraId="017E7BB2" w14:textId="77777777" w:rsidR="009C2F9D" w:rsidRDefault="009C2F9D" w:rsidP="009C2F9D">
      <w:pPr>
        <w:pStyle w:val="xmsolistparagraph"/>
        <w:numPr>
          <w:ilvl w:val="0"/>
          <w:numId w:val="1"/>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EQUIPMENT &amp; REAL ESTATE PURCHASE &amp; SALE PLANNING</w:t>
      </w:r>
    </w:p>
    <w:p w14:paraId="6C5C16A1" w14:textId="77777777" w:rsidR="009C2F9D" w:rsidRDefault="009C2F9D" w:rsidP="009C2F9D">
      <w:pPr>
        <w:pStyle w:val="xmsolistparagraph"/>
        <w:numPr>
          <w:ilvl w:val="0"/>
          <w:numId w:val="1"/>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PROJECTIONS, BUDGETS &amp; COMPARATIVE REPORTS</w:t>
      </w:r>
    </w:p>
    <w:p w14:paraId="23DD1CD2" w14:textId="77777777" w:rsidR="009C2F9D" w:rsidRDefault="009C2F9D" w:rsidP="009C2F9D">
      <w:pPr>
        <w:pStyle w:val="xmsonormal"/>
        <w:shd w:val="clear" w:color="auto" w:fill="FFFFFF"/>
        <w:spacing w:before="0" w:beforeAutospacing="0" w:after="0" w:afterAutospacing="0" w:line="233" w:lineRule="atLeast"/>
        <w:textAlignment w:val="baseline"/>
        <w:rPr>
          <w:rFonts w:ascii="Calibri" w:hAnsi="Calibri" w:cs="Calibri"/>
          <w:color w:val="201F1E"/>
          <w:sz w:val="22"/>
          <w:szCs w:val="22"/>
        </w:rPr>
      </w:pPr>
      <w:r>
        <w:rPr>
          <w:rFonts w:ascii="Open Sans" w:hAnsi="Open Sans" w:cs="Open Sans"/>
          <w:color w:val="333333"/>
          <w:spacing w:val="45"/>
          <w:sz w:val="32"/>
          <w:szCs w:val="32"/>
          <w:bdr w:val="none" w:sz="0" w:space="0" w:color="auto" w:frame="1"/>
        </w:rPr>
        <w:t>BOOKKEEPING SERVICES</w:t>
      </w:r>
    </w:p>
    <w:p w14:paraId="74A76CBE" w14:textId="77777777" w:rsidR="009C2F9D" w:rsidRDefault="009C2F9D" w:rsidP="009C2F9D">
      <w:pPr>
        <w:pStyle w:val="xmsolistparagraph"/>
        <w:numPr>
          <w:ilvl w:val="0"/>
          <w:numId w:val="2"/>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MONTHLY OR QUARTERLY REVIEW OF GENERAL LEDGER &amp; TRANSACTIONS</w:t>
      </w:r>
    </w:p>
    <w:p w14:paraId="5603A7AA" w14:textId="77777777" w:rsidR="009C2F9D" w:rsidRDefault="009C2F9D" w:rsidP="009C2F9D">
      <w:pPr>
        <w:pStyle w:val="xmsolistparagraph"/>
        <w:numPr>
          <w:ilvl w:val="0"/>
          <w:numId w:val="2"/>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ENTERING JOURNAL ENTRIES AS NECESSARY</w:t>
      </w:r>
    </w:p>
    <w:p w14:paraId="6543FB4C" w14:textId="77777777" w:rsidR="009C2F9D" w:rsidRDefault="009C2F9D" w:rsidP="009C2F9D">
      <w:pPr>
        <w:pStyle w:val="xmsolistparagraph"/>
        <w:numPr>
          <w:ilvl w:val="0"/>
          <w:numId w:val="2"/>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RECONCILING BANK AND CREDIT CARD ACCOUNTS</w:t>
      </w:r>
    </w:p>
    <w:p w14:paraId="7C0C8AF1" w14:textId="77777777" w:rsidR="009C2F9D" w:rsidRDefault="009C2F9D" w:rsidP="009C2F9D">
      <w:pPr>
        <w:pStyle w:val="xmsolistparagraph"/>
        <w:numPr>
          <w:ilvl w:val="0"/>
          <w:numId w:val="2"/>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PRODUCING MONTHLY MANAGEMENT &amp; FINANCIAL STATEMENTS</w:t>
      </w:r>
    </w:p>
    <w:p w14:paraId="083B34D1" w14:textId="77777777" w:rsidR="009C2F9D" w:rsidRDefault="009C2F9D" w:rsidP="009C2F9D">
      <w:pPr>
        <w:pStyle w:val="xmsolistparagraph"/>
        <w:numPr>
          <w:ilvl w:val="0"/>
          <w:numId w:val="2"/>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GENERATING MONTHLY CASH FLOW ANALYSIS</w:t>
      </w:r>
    </w:p>
    <w:p w14:paraId="6265F3BD" w14:textId="77777777" w:rsidR="009C2F9D" w:rsidRDefault="009C2F9D" w:rsidP="009C2F9D">
      <w:pPr>
        <w:pStyle w:val="xmsolistparagraph"/>
        <w:numPr>
          <w:ilvl w:val="0"/>
          <w:numId w:val="2"/>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MONTHLY OR QUARTERLY PHONE CALL TO CHECK IN AND REVIEW REPORTS</w:t>
      </w:r>
    </w:p>
    <w:p w14:paraId="7C44943D" w14:textId="77777777" w:rsidR="009C2F9D" w:rsidRDefault="009C2F9D" w:rsidP="009C2F9D">
      <w:pPr>
        <w:pStyle w:val="xmsonormal"/>
        <w:shd w:val="clear" w:color="auto" w:fill="FFFFFF"/>
        <w:spacing w:before="0" w:beforeAutospacing="0" w:after="0" w:afterAutospacing="0" w:line="233" w:lineRule="atLeast"/>
        <w:textAlignment w:val="baseline"/>
        <w:rPr>
          <w:rFonts w:ascii="Calibri" w:hAnsi="Calibri" w:cs="Calibri"/>
          <w:color w:val="201F1E"/>
          <w:sz w:val="22"/>
          <w:szCs w:val="22"/>
        </w:rPr>
      </w:pPr>
      <w:r>
        <w:rPr>
          <w:rFonts w:ascii="Open Sans" w:hAnsi="Open Sans" w:cs="Open Sans"/>
          <w:color w:val="333333"/>
          <w:spacing w:val="45"/>
          <w:sz w:val="32"/>
          <w:szCs w:val="32"/>
          <w:bdr w:val="none" w:sz="0" w:space="0" w:color="auto" w:frame="1"/>
        </w:rPr>
        <w:t>QUICKBOOKS SERVICES</w:t>
      </w:r>
    </w:p>
    <w:p w14:paraId="6DF7EEA7" w14:textId="77777777" w:rsidR="009C2F9D" w:rsidRDefault="009C2F9D" w:rsidP="009C2F9D">
      <w:pPr>
        <w:pStyle w:val="xmsolistparagraph"/>
        <w:numPr>
          <w:ilvl w:val="0"/>
          <w:numId w:val="3"/>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INSTALLATION OF QB DESKTOP OR ONLINE</w:t>
      </w:r>
    </w:p>
    <w:p w14:paraId="5B8B7EAB" w14:textId="77777777" w:rsidR="009C2F9D" w:rsidRDefault="009C2F9D" w:rsidP="009C2F9D">
      <w:pPr>
        <w:pStyle w:val="xmsolistparagraph"/>
        <w:numPr>
          <w:ilvl w:val="0"/>
          <w:numId w:val="3"/>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CUSTOMIZED CONFIGURATION OF QB CHART OF ACCOUNTS, SETTINGS &amp; PREFERENCES</w:t>
      </w:r>
    </w:p>
    <w:p w14:paraId="118745A8" w14:textId="77777777" w:rsidR="009C2F9D" w:rsidRDefault="009C2F9D" w:rsidP="009C2F9D">
      <w:pPr>
        <w:pStyle w:val="xmsolistparagraph"/>
        <w:numPr>
          <w:ilvl w:val="0"/>
          <w:numId w:val="3"/>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INTEGRATION WITH QB AND OTHER APPLICATIONS</w:t>
      </w:r>
    </w:p>
    <w:p w14:paraId="0D880837" w14:textId="77777777" w:rsidR="009C2F9D" w:rsidRDefault="009C2F9D" w:rsidP="009C2F9D">
      <w:pPr>
        <w:pStyle w:val="xmsolistparagraph"/>
        <w:numPr>
          <w:ilvl w:val="0"/>
          <w:numId w:val="3"/>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ON-SITE OR REMOTE ONE-ON-ONE OR GROUP TRAINING ON QB DESKTOP OR ONLINE</w:t>
      </w:r>
    </w:p>
    <w:p w14:paraId="36AFD2B7" w14:textId="77777777" w:rsidR="009C2F9D" w:rsidRDefault="009C2F9D" w:rsidP="009C2F9D">
      <w:pPr>
        <w:pStyle w:val="xmsolistparagraph"/>
        <w:numPr>
          <w:ilvl w:val="0"/>
          <w:numId w:val="3"/>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ONE-TIME QB CLEAN-UP</w:t>
      </w:r>
    </w:p>
    <w:p w14:paraId="12337AD1" w14:textId="77777777" w:rsidR="009C2F9D" w:rsidRDefault="009C2F9D" w:rsidP="009C2F9D">
      <w:pPr>
        <w:pStyle w:val="xmsolistparagraph"/>
        <w:numPr>
          <w:ilvl w:val="0"/>
          <w:numId w:val="3"/>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ONGOING QB WORK AND/OR REVIEW</w:t>
      </w:r>
    </w:p>
    <w:p w14:paraId="5BFB7093" w14:textId="77777777" w:rsidR="009C2F9D" w:rsidRDefault="009C2F9D" w:rsidP="009C2F9D">
      <w:pPr>
        <w:pStyle w:val="xmsonormal"/>
        <w:shd w:val="clear" w:color="auto" w:fill="FFFFFF"/>
        <w:spacing w:before="0" w:beforeAutospacing="0" w:after="0" w:afterAutospacing="0" w:line="233" w:lineRule="atLeast"/>
        <w:textAlignment w:val="baseline"/>
        <w:rPr>
          <w:rFonts w:ascii="Calibri" w:hAnsi="Calibri" w:cs="Calibri"/>
          <w:color w:val="201F1E"/>
          <w:sz w:val="22"/>
          <w:szCs w:val="22"/>
        </w:rPr>
      </w:pPr>
      <w:r>
        <w:rPr>
          <w:rFonts w:ascii="Open Sans" w:hAnsi="Open Sans" w:cs="Open Sans"/>
          <w:color w:val="333333"/>
          <w:spacing w:val="45"/>
          <w:sz w:val="32"/>
          <w:szCs w:val="32"/>
          <w:bdr w:val="none" w:sz="0" w:space="0" w:color="auto" w:frame="1"/>
        </w:rPr>
        <w:t>TAX SERVICES</w:t>
      </w:r>
    </w:p>
    <w:p w14:paraId="581AB0A3" w14:textId="77777777" w:rsidR="009C2F9D" w:rsidRDefault="009C2F9D" w:rsidP="009C2F9D">
      <w:pPr>
        <w:pStyle w:val="xmsolistparagraph"/>
        <w:numPr>
          <w:ilvl w:val="0"/>
          <w:numId w:val="4"/>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INCOME TAXES FOR CORPORATIONS, INDIVIDUALS AND PARTNERSHIPS</w:t>
      </w:r>
    </w:p>
    <w:p w14:paraId="12F73303" w14:textId="77777777" w:rsidR="009C2F9D" w:rsidRDefault="009C2F9D" w:rsidP="009C2F9D">
      <w:pPr>
        <w:pStyle w:val="xmsolistparagraph"/>
        <w:numPr>
          <w:ilvl w:val="0"/>
          <w:numId w:val="4"/>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FEDERAL, STATE AD LOCAL INCOME TAXES</w:t>
      </w:r>
    </w:p>
    <w:p w14:paraId="306CACBE" w14:textId="77777777" w:rsidR="009C2F9D" w:rsidRDefault="009C2F9D" w:rsidP="009C2F9D">
      <w:pPr>
        <w:pStyle w:val="xmsolistparagraph"/>
        <w:numPr>
          <w:ilvl w:val="0"/>
          <w:numId w:val="4"/>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MONTHLY, QUARTERLY AND ANNUAL PAYROLL TAXES</w:t>
      </w:r>
    </w:p>
    <w:p w14:paraId="542BC6C5" w14:textId="77777777" w:rsidR="009C2F9D" w:rsidRDefault="009C2F9D" w:rsidP="009C2F9D">
      <w:pPr>
        <w:pStyle w:val="xmsolistparagraph"/>
        <w:numPr>
          <w:ilvl w:val="0"/>
          <w:numId w:val="4"/>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MONTHLY OR QUARTERLY SALES AND USE TAXES</w:t>
      </w:r>
    </w:p>
    <w:p w14:paraId="2E7553ED" w14:textId="77777777" w:rsidR="009C2F9D" w:rsidRDefault="009C2F9D" w:rsidP="009C2F9D">
      <w:pPr>
        <w:pStyle w:val="xmsolistparagraph"/>
        <w:numPr>
          <w:ilvl w:val="0"/>
          <w:numId w:val="4"/>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LOCAL TAXES (E.G. ACCOMMODATIONS, HOSPITALITY, WASTE, ETC.)</w:t>
      </w:r>
    </w:p>
    <w:p w14:paraId="66217533" w14:textId="77777777" w:rsidR="009C2F9D" w:rsidRDefault="009C2F9D" w:rsidP="009C2F9D">
      <w:pPr>
        <w:pStyle w:val="xmsolistparagraph"/>
        <w:numPr>
          <w:ilvl w:val="0"/>
          <w:numId w:val="4"/>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TAX COMPARISONS TO MAXIMIZE LEGAL DEDUCTIONS</w:t>
      </w:r>
    </w:p>
    <w:p w14:paraId="2C9A1805" w14:textId="77777777" w:rsidR="009C2F9D" w:rsidRDefault="009C2F9D" w:rsidP="009C2F9D">
      <w:pPr>
        <w:pStyle w:val="xmsolistparagraph"/>
        <w:numPr>
          <w:ilvl w:val="0"/>
          <w:numId w:val="4"/>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YEAR-END PLANNING TO MAXIMIZE TAX SAVINGS</w:t>
      </w:r>
    </w:p>
    <w:p w14:paraId="2E984046" w14:textId="77777777" w:rsidR="009C2F9D" w:rsidRDefault="009C2F9D" w:rsidP="009C2F9D">
      <w:pPr>
        <w:pStyle w:val="xmsolistparagraph"/>
        <w:numPr>
          <w:ilvl w:val="0"/>
          <w:numId w:val="4"/>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YEAR-ROUND MONITORING OF TAX LAW CHANGES</w:t>
      </w:r>
    </w:p>
    <w:p w14:paraId="21E689B5" w14:textId="77777777" w:rsidR="009C2F9D" w:rsidRDefault="009C2F9D" w:rsidP="009C2F9D">
      <w:pPr>
        <w:pStyle w:val="xmsonormal"/>
        <w:shd w:val="clear" w:color="auto" w:fill="FFFFFF"/>
        <w:spacing w:before="0" w:beforeAutospacing="0" w:after="0" w:afterAutospacing="0" w:line="233" w:lineRule="atLeast"/>
        <w:textAlignment w:val="baseline"/>
        <w:rPr>
          <w:rFonts w:ascii="Calibri" w:hAnsi="Calibri" w:cs="Calibri"/>
          <w:color w:val="201F1E"/>
          <w:sz w:val="22"/>
          <w:szCs w:val="22"/>
        </w:rPr>
      </w:pPr>
      <w:r>
        <w:rPr>
          <w:rFonts w:ascii="Open Sans" w:hAnsi="Open Sans" w:cs="Open Sans"/>
          <w:color w:val="333333"/>
          <w:spacing w:val="45"/>
          <w:sz w:val="32"/>
          <w:szCs w:val="32"/>
          <w:bdr w:val="none" w:sz="0" w:space="0" w:color="auto" w:frame="1"/>
        </w:rPr>
        <w:t>PAYROLL SERVICES</w:t>
      </w:r>
    </w:p>
    <w:p w14:paraId="243DBB26" w14:textId="77777777" w:rsidR="009C2F9D" w:rsidRDefault="009C2F9D" w:rsidP="009C2F9D">
      <w:pPr>
        <w:pStyle w:val="xmsolistparagraph"/>
        <w:numPr>
          <w:ilvl w:val="0"/>
          <w:numId w:val="5"/>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WEEKLY, BI-WEEKLY, SEMI-MONTHLY, OR MONTHLY PAYROLL PROCESSING</w:t>
      </w:r>
    </w:p>
    <w:p w14:paraId="6F4164D6" w14:textId="77777777" w:rsidR="009C2F9D" w:rsidRDefault="009C2F9D" w:rsidP="009C2F9D">
      <w:pPr>
        <w:pStyle w:val="xmsolistparagraph"/>
        <w:numPr>
          <w:ilvl w:val="0"/>
          <w:numId w:val="5"/>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GARNISHMENTS, BENEFITS (INSURANCE, 401K, IRA) DEDUCTIONSPAYROLL REPORTS AND RECONCILIATIONS</w:t>
      </w:r>
    </w:p>
    <w:p w14:paraId="3AC6633F" w14:textId="77777777" w:rsidR="009C2F9D" w:rsidRDefault="009C2F9D" w:rsidP="009C2F9D">
      <w:pPr>
        <w:pStyle w:val="xmsolistparagraph"/>
        <w:numPr>
          <w:ilvl w:val="0"/>
          <w:numId w:val="5"/>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PAYROLL TAX PAYMENTS MADE SEMI-WEEKLY, MONTHLY OR QUARTERLY</w:t>
      </w:r>
    </w:p>
    <w:p w14:paraId="67DA4B51" w14:textId="77777777" w:rsidR="009C2F9D" w:rsidRDefault="009C2F9D" w:rsidP="009C2F9D">
      <w:pPr>
        <w:pStyle w:val="xmsolistparagraph"/>
        <w:numPr>
          <w:ilvl w:val="0"/>
          <w:numId w:val="5"/>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PAYROLL RETURNS PROCESSED QUARTERLY AND ANNUALLY</w:t>
      </w:r>
    </w:p>
    <w:p w14:paraId="3C883DB0" w14:textId="77777777" w:rsidR="009C2F9D" w:rsidRDefault="009C2F9D" w:rsidP="009C2F9D">
      <w:pPr>
        <w:pStyle w:val="xmsolistparagraph"/>
        <w:numPr>
          <w:ilvl w:val="0"/>
          <w:numId w:val="5"/>
        </w:numPr>
        <w:shd w:val="clear" w:color="auto" w:fill="FFFFFF"/>
        <w:spacing w:before="0" w:beforeAutospacing="0" w:after="0" w:afterAutospacing="0"/>
        <w:textAlignment w:val="baseline"/>
        <w:rPr>
          <w:rFonts w:ascii="Calibri" w:hAnsi="Calibri" w:cs="Calibri"/>
          <w:color w:val="2A3B8F"/>
          <w:sz w:val="22"/>
          <w:szCs w:val="22"/>
        </w:rPr>
      </w:pPr>
      <w:r>
        <w:rPr>
          <w:rFonts w:ascii="Open Sans" w:hAnsi="Open Sans" w:cs="Open Sans"/>
          <w:caps/>
          <w:color w:val="2A3B8F"/>
          <w:sz w:val="21"/>
          <w:szCs w:val="21"/>
          <w:bdr w:val="none" w:sz="0" w:space="0" w:color="auto" w:frame="1"/>
        </w:rPr>
        <w:t>LIAISON WITH OUTSIDE PAYROLL PROVIDERS AND FEDERAL &amp; STATE AGENCIES</w:t>
      </w:r>
    </w:p>
    <w:p w14:paraId="51B36BEB" w14:textId="77777777" w:rsidR="009C2F9D" w:rsidRDefault="009C2F9D" w:rsidP="009C2F9D">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 </w:t>
      </w:r>
    </w:p>
    <w:p w14:paraId="6B3FEE2F" w14:textId="77777777" w:rsidR="009C2F9D" w:rsidRDefault="009C2F9D" w:rsidP="009C2F9D">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 </w:t>
      </w:r>
    </w:p>
    <w:p w14:paraId="0EA17CC9" w14:textId="77777777" w:rsidR="009C2F9D" w:rsidRDefault="009C2F9D" w:rsidP="009C2F9D">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 </w:t>
      </w:r>
    </w:p>
    <w:p w14:paraId="643CDA4C" w14:textId="77777777" w:rsidR="009C2F9D" w:rsidRDefault="009C2F9D" w:rsidP="009C2F9D">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lastRenderedPageBreak/>
        <w:t xml:space="preserve">John Rickard is a graduate of the University of Maryland with B.S. in Accounting and a graduate of the Citadel with a M.B.A. He has over 30 years’ experience in accounting a Tax a Taxation. His background includes being a Senor Tax Accountant </w:t>
      </w:r>
      <w:proofErr w:type="spellStart"/>
      <w:r>
        <w:rPr>
          <w:rFonts w:ascii="Calibri" w:hAnsi="Calibri" w:cs="Calibri"/>
          <w:color w:val="201F1E"/>
          <w:sz w:val="22"/>
          <w:szCs w:val="22"/>
        </w:rPr>
        <w:t>wit</w:t>
      </w:r>
      <w:proofErr w:type="spellEnd"/>
      <w:r>
        <w:rPr>
          <w:rFonts w:ascii="Calibri" w:hAnsi="Calibri" w:cs="Calibri"/>
          <w:color w:val="201F1E"/>
          <w:sz w:val="22"/>
          <w:szCs w:val="22"/>
        </w:rPr>
        <w:t xml:space="preserve"> a fortune 100 company as well as over twenty years of Chief Financial officer and Senior Financial management experience. For the last 15 years Mr. Rickard has worked in Public Accounting working with Small Business and Small Business owners. His areas of expertise are Tax Planning, Tax Strategy, Cash Flow Management, and Budgeting.</w:t>
      </w:r>
    </w:p>
    <w:p w14:paraId="0D8F870E" w14:textId="77777777" w:rsidR="009C2F9D" w:rsidRDefault="009C2F9D" w:rsidP="009C2F9D">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 </w:t>
      </w:r>
    </w:p>
    <w:p w14:paraId="6978F369" w14:textId="77777777" w:rsidR="00522F5B" w:rsidRDefault="009C2F9D"/>
    <w:sectPr w:rsidR="00522F5B" w:rsidSect="007B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7547"/>
    <w:multiLevelType w:val="multilevel"/>
    <w:tmpl w:val="E1C603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3329C3"/>
    <w:multiLevelType w:val="multilevel"/>
    <w:tmpl w:val="D4FA05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781683"/>
    <w:multiLevelType w:val="multilevel"/>
    <w:tmpl w:val="C3DC59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847370"/>
    <w:multiLevelType w:val="multilevel"/>
    <w:tmpl w:val="ADE253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5C754D"/>
    <w:multiLevelType w:val="multilevel"/>
    <w:tmpl w:val="BF62C3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9D"/>
    <w:rsid w:val="00016320"/>
    <w:rsid w:val="00166157"/>
    <w:rsid w:val="00451DCF"/>
    <w:rsid w:val="00775E40"/>
    <w:rsid w:val="007B7F41"/>
    <w:rsid w:val="009C2F9D"/>
    <w:rsid w:val="00B1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241DC9"/>
  <w15:chartTrackingRefBased/>
  <w15:docId w15:val="{65377CBC-A122-1E4A-84BC-8CE8BFD8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C2F9D"/>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9C2F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Garcia</dc:creator>
  <cp:keywords/>
  <dc:description/>
  <cp:lastModifiedBy>Ciprian Garcia</cp:lastModifiedBy>
  <cp:revision>1</cp:revision>
  <dcterms:created xsi:type="dcterms:W3CDTF">2022-04-13T12:30:00Z</dcterms:created>
  <dcterms:modified xsi:type="dcterms:W3CDTF">2022-04-13T12:31:00Z</dcterms:modified>
</cp:coreProperties>
</file>